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bookmarkStart w:id="48" w:name="_GoBack"/>
      <w:bookmarkEnd w:id="48"/>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木垒哈萨克自治县准东社会事务管理中心</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1.贯彻落实国家、区、州、县人民政府各项方针、政策</w:t>
      </w:r>
      <w:r>
        <w:rPr>
          <w:rFonts w:hint="eastAsia" w:ascii="仿宋_GB2312" w:eastAsia="仿宋_GB2312"/>
          <w:sz w:val="32"/>
          <w:szCs w:val="32"/>
          <w:lang w:eastAsia="zh-CN"/>
        </w:rPr>
        <w:t>，</w:t>
      </w:r>
      <w:r>
        <w:rPr>
          <w:rFonts w:hint="eastAsia" w:ascii="仿宋_GB2312" w:eastAsia="仿宋_GB2312"/>
          <w:sz w:val="32"/>
          <w:szCs w:val="32"/>
        </w:rPr>
        <w:t>研究制定准东开发区</w:t>
      </w:r>
      <w:r>
        <w:rPr>
          <w:rFonts w:hint="eastAsia" w:ascii="仿宋_GB2312" w:eastAsia="仿宋_GB2312"/>
          <w:sz w:val="32"/>
          <w:szCs w:val="32"/>
          <w:lang w:eastAsia="zh-CN"/>
        </w:rPr>
        <w:t>木垒哈萨克自治县</w:t>
      </w:r>
      <w:r>
        <w:rPr>
          <w:rFonts w:hint="eastAsia" w:ascii="仿宋_GB2312" w:eastAsia="仿宋_GB2312"/>
          <w:sz w:val="32"/>
          <w:szCs w:val="32"/>
        </w:rPr>
        <w:t>区域内经济和社会发展规划、管理办法、相关配套优惠政策</w:t>
      </w:r>
      <w:r>
        <w:rPr>
          <w:rFonts w:hint="eastAsia" w:ascii="仿宋_GB2312" w:eastAsia="仿宋_GB2312"/>
          <w:sz w:val="32"/>
          <w:szCs w:val="32"/>
          <w:lang w:eastAsia="zh-CN"/>
        </w:rPr>
        <w:t>，</w:t>
      </w:r>
      <w:r>
        <w:rPr>
          <w:rFonts w:hint="eastAsia" w:ascii="仿宋_GB2312" w:eastAsia="仿宋_GB2312"/>
          <w:sz w:val="32"/>
          <w:szCs w:val="32"/>
        </w:rPr>
        <w:t>经自治县人民政府批准后</w:t>
      </w:r>
      <w:r>
        <w:rPr>
          <w:rFonts w:hint="eastAsia" w:ascii="仿宋_GB2312" w:eastAsia="仿宋_GB2312"/>
          <w:sz w:val="32"/>
          <w:szCs w:val="32"/>
          <w:lang w:eastAsia="zh-CN"/>
        </w:rPr>
        <w:t>，</w:t>
      </w:r>
      <w:r>
        <w:rPr>
          <w:rFonts w:hint="eastAsia" w:ascii="仿宋_GB2312" w:eastAsia="仿宋_GB2312"/>
          <w:sz w:val="32"/>
          <w:szCs w:val="32"/>
        </w:rPr>
        <w:t>负责组织实施。</w:t>
      </w:r>
    </w:p>
    <w:p>
      <w:pPr>
        <w:ind w:firstLine="640" w:firstLineChars="200"/>
        <w:rPr>
          <w:rFonts w:ascii="仿宋_GB2312" w:eastAsia="仿宋_GB2312"/>
          <w:sz w:val="32"/>
          <w:szCs w:val="32"/>
        </w:rPr>
      </w:pPr>
      <w:r>
        <w:rPr>
          <w:rFonts w:hint="eastAsia" w:ascii="仿宋_GB2312" w:eastAsia="仿宋_GB2312"/>
          <w:sz w:val="32"/>
          <w:szCs w:val="32"/>
        </w:rPr>
        <w:t>2.协调做好招商引资工作。</w:t>
      </w:r>
    </w:p>
    <w:p>
      <w:pPr>
        <w:ind w:firstLine="640" w:firstLineChars="200"/>
        <w:rPr>
          <w:rFonts w:ascii="仿宋_GB2312" w:eastAsia="仿宋_GB2312"/>
          <w:sz w:val="32"/>
          <w:szCs w:val="32"/>
        </w:rPr>
      </w:pPr>
      <w:r>
        <w:rPr>
          <w:rFonts w:hint="eastAsia" w:ascii="仿宋_GB2312" w:eastAsia="仿宋_GB2312"/>
          <w:sz w:val="32"/>
          <w:szCs w:val="32"/>
        </w:rPr>
        <w:t>3.负责对准东开发区</w:t>
      </w:r>
      <w:r>
        <w:rPr>
          <w:rFonts w:hint="eastAsia" w:ascii="仿宋_GB2312" w:eastAsia="仿宋_GB2312"/>
          <w:sz w:val="32"/>
          <w:szCs w:val="32"/>
          <w:lang w:eastAsia="zh-CN"/>
        </w:rPr>
        <w:t>木垒哈萨克自治县</w:t>
      </w:r>
      <w:r>
        <w:rPr>
          <w:rFonts w:hint="eastAsia" w:ascii="仿宋_GB2312" w:eastAsia="仿宋_GB2312"/>
          <w:sz w:val="32"/>
          <w:szCs w:val="32"/>
        </w:rPr>
        <w:t>区域内入驻企业进行宏观指导、管理、组织和协调</w:t>
      </w:r>
      <w:r>
        <w:rPr>
          <w:rFonts w:hint="eastAsia" w:ascii="仿宋_GB2312" w:eastAsia="仿宋_GB2312"/>
          <w:sz w:val="32"/>
          <w:szCs w:val="32"/>
          <w:lang w:eastAsia="zh-CN"/>
        </w:rPr>
        <w:t>，</w:t>
      </w:r>
      <w:r>
        <w:rPr>
          <w:rFonts w:hint="eastAsia" w:ascii="仿宋_GB2312" w:eastAsia="仿宋_GB2312"/>
          <w:sz w:val="32"/>
          <w:szCs w:val="32"/>
        </w:rPr>
        <w:t>维护准东开发区</w:t>
      </w:r>
      <w:r>
        <w:rPr>
          <w:rFonts w:hint="eastAsia" w:ascii="仿宋_GB2312" w:eastAsia="仿宋_GB2312"/>
          <w:sz w:val="32"/>
          <w:szCs w:val="32"/>
          <w:lang w:eastAsia="zh-CN"/>
        </w:rPr>
        <w:t>木垒哈萨克自治县</w:t>
      </w:r>
      <w:r>
        <w:rPr>
          <w:rFonts w:hint="eastAsia" w:ascii="仿宋_GB2312" w:eastAsia="仿宋_GB2312"/>
          <w:sz w:val="32"/>
          <w:szCs w:val="32"/>
        </w:rPr>
        <w:t>区域内企业的合法权益</w:t>
      </w:r>
      <w:r>
        <w:rPr>
          <w:rFonts w:hint="eastAsia" w:ascii="仿宋_GB2312" w:eastAsia="仿宋_GB2312"/>
          <w:sz w:val="32"/>
          <w:szCs w:val="32"/>
          <w:lang w:eastAsia="zh-CN"/>
        </w:rPr>
        <w:t>，</w:t>
      </w:r>
      <w:r>
        <w:rPr>
          <w:rFonts w:hint="eastAsia" w:ascii="仿宋_GB2312" w:eastAsia="仿宋_GB2312"/>
          <w:sz w:val="32"/>
          <w:szCs w:val="32"/>
        </w:rPr>
        <w:t>协调相关部门为企业做好服务工作。</w:t>
      </w:r>
    </w:p>
    <w:p>
      <w:pPr>
        <w:ind w:firstLine="640" w:firstLineChars="200"/>
        <w:rPr>
          <w:rFonts w:ascii="仿宋_GB2312" w:eastAsia="仿宋_GB2312"/>
          <w:sz w:val="32"/>
          <w:szCs w:val="32"/>
        </w:rPr>
      </w:pPr>
      <w:r>
        <w:rPr>
          <w:rFonts w:hint="eastAsia" w:ascii="仿宋_GB2312" w:eastAsia="仿宋_GB2312"/>
          <w:sz w:val="32"/>
          <w:szCs w:val="32"/>
        </w:rPr>
        <w:t>4.完成县委、县人民政府交办的其他工作。</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rPr>
          <w:rFonts w:ascii="仿宋_GB2312" w:eastAsia="仿宋_GB2312"/>
          <w:sz w:val="32"/>
          <w:szCs w:val="32"/>
        </w:rPr>
      </w:pPr>
      <w:r>
        <w:rPr>
          <w:rFonts w:hint="eastAsia" w:ascii="仿宋_GB2312" w:eastAsia="仿宋_GB2312"/>
          <w:sz w:val="32"/>
          <w:szCs w:val="32"/>
        </w:rPr>
        <w:t>木垒哈萨克自治县准东社会事务管理中心2023年度，实有人数6人，其中：在职人员6人，离休人员0人，退休人员0人。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单位无下属预算单位，下设2个处室，分别是：综合办公室、协调管理科。</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hint="eastAsia" w:ascii="仿宋_GB2312" w:eastAsia="仿宋_GB2312"/>
          <w:sz w:val="32"/>
          <w:szCs w:val="32"/>
        </w:rPr>
        <w:t>2023年度收入总计87.77万元，其中：本年收入合计87.77万元，使用非财政拨款结余0.00万元，年初结转和结余0.00万元。</w:t>
      </w:r>
    </w:p>
    <w:p>
      <w:pPr>
        <w:ind w:firstLine="640" w:firstLineChars="200"/>
        <w:rPr>
          <w:rFonts w:ascii="仿宋_GB2312" w:eastAsia="仿宋_GB2312"/>
          <w:sz w:val="32"/>
          <w:szCs w:val="32"/>
        </w:rPr>
      </w:pPr>
      <w:r>
        <w:rPr>
          <w:rFonts w:hint="eastAsia" w:ascii="仿宋_GB2312" w:eastAsia="仿宋_GB2312"/>
          <w:sz w:val="32"/>
          <w:szCs w:val="32"/>
        </w:rPr>
        <w:t>2023年度支出总计87.77万元，其中：本年支出合计87.77万元，结余分配0.00万元，年末结转和结余0.00万元。</w:t>
      </w:r>
    </w:p>
    <w:p>
      <w:pPr>
        <w:ind w:firstLine="640" w:firstLineChars="200"/>
        <w:rPr>
          <w:rFonts w:ascii="仿宋_GB2312" w:eastAsia="仿宋_GB2312"/>
          <w:sz w:val="32"/>
          <w:szCs w:val="32"/>
        </w:rPr>
      </w:pPr>
      <w:r>
        <w:rPr>
          <w:rFonts w:hint="eastAsia" w:ascii="仿宋_GB2312" w:eastAsia="仿宋_GB2312"/>
          <w:sz w:val="32"/>
          <w:szCs w:val="32"/>
        </w:rPr>
        <w:t>收入支出总体与上年相比，增加26.11万元，增长42.35%，主要原因是：单位本年人员增加，相应人员工资、津贴补贴、奖金增加。</w:t>
      </w:r>
    </w:p>
    <w:p>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hint="eastAsia" w:ascii="仿宋_GB2312" w:eastAsia="仿宋_GB2312"/>
          <w:sz w:val="32"/>
          <w:szCs w:val="32"/>
        </w:rPr>
        <w:t>本年收入87.77万元，其中：财政拨款收入87.77万元，占100.00%；上级补助收入0.00万元，占0.00%；事业收入0.00万元，占0.00%；经营收入0.00万元，占0.00%；附属单位上缴收入0.00万元，占0.00%；其他收入0.00万元，占0.00%。</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hint="eastAsia" w:ascii="仿宋_GB2312" w:eastAsia="仿宋_GB2312"/>
          <w:sz w:val="32"/>
          <w:szCs w:val="32"/>
        </w:rPr>
        <w:t>本年支出87.77万元，其中：基本支出87.77万元，占100.00%；项目支出0.00万元，占0.00%；上缴上级支出0.00万元，占0.00%；经营支出0.00万元，占0.00%；对附属单位补助支出0.00万元，占0.00%。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hint="eastAsia" w:ascii="仿宋_GB2312" w:eastAsia="仿宋_GB2312"/>
          <w:sz w:val="32"/>
          <w:szCs w:val="32"/>
        </w:rPr>
        <w:t>2023年度财政拨款收入总计87.77万元，其中：年初财政拨款结转和结余0.00万元，本年财政拨款收入87.77万元。财政拨款支出总计87.77万元，其中：年末财政拨款结转和结余0.00万元，本年财政拨款支出87.77万元。</w:t>
      </w:r>
    </w:p>
    <w:p>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eastAsia="zh-CN"/>
        </w:rPr>
        <w:t>，</w:t>
      </w:r>
      <w:r>
        <w:rPr>
          <w:rFonts w:hint="eastAsia" w:ascii="仿宋_GB2312" w:eastAsia="仿宋_GB2312"/>
          <w:sz w:val="32"/>
          <w:szCs w:val="32"/>
        </w:rPr>
        <w:t>增加26.11万元，增长42.35%,主要原因是：单位本年人员增加，相应人员工资、津贴补贴、奖金增加。与年初预算相比，年初预算数68.24万元，决算数87.77万元，预决算差异率28.62%，主要原因是：单位本年人员增加，年中追加人员工资、津贴补贴、奖金等。</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87.77万元，占本年支出合计的100.00%。与上年相比，增加26.11万元，增长42.35%,主要原因是：单位本年人员增加，相应人员工资、津贴补贴、奖金增加。与年初预算相比，年初预算数68.24万元，决算数87.77万元，预决算差异率28.62%，主要原因是：单位本年人员增加，年中追加人员工资、津贴补贴、奖金等。</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73.58</w:t>
      </w:r>
      <w:r>
        <w:rPr>
          <w:rFonts w:ascii="仿宋_GB2312" w:eastAsia="仿宋_GB2312"/>
          <w:sz w:val="32"/>
          <w:szCs w:val="32"/>
        </w:rPr>
        <w:t>万元，占</w:t>
      </w:r>
      <w:r>
        <w:rPr>
          <w:rFonts w:hint="eastAsia" w:ascii="仿宋_GB2312" w:eastAsia="仿宋_GB2312"/>
          <w:sz w:val="32"/>
          <w:szCs w:val="32"/>
        </w:rPr>
        <w:t>83.83</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.社会保障和就业支出（类）</w:t>
      </w:r>
      <w:r>
        <w:rPr>
          <w:rFonts w:hint="eastAsia" w:ascii="仿宋_GB2312" w:eastAsia="仿宋_GB2312"/>
          <w:sz w:val="32"/>
          <w:szCs w:val="32"/>
        </w:rPr>
        <w:t>8.24</w:t>
      </w:r>
      <w:r>
        <w:rPr>
          <w:rFonts w:ascii="仿宋_GB2312" w:eastAsia="仿宋_GB2312"/>
          <w:sz w:val="32"/>
          <w:szCs w:val="32"/>
        </w:rPr>
        <w:t>万元，占</w:t>
      </w:r>
      <w:r>
        <w:rPr>
          <w:rFonts w:hint="eastAsia" w:ascii="仿宋_GB2312" w:eastAsia="仿宋_GB2312"/>
          <w:sz w:val="32"/>
          <w:szCs w:val="32"/>
        </w:rPr>
        <w:t>9.39</w:t>
      </w:r>
      <w:r>
        <w:rPr>
          <w:rFonts w:ascii="仿宋_GB2312" w:eastAsia="仿宋_GB2312"/>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5.95</w:t>
      </w:r>
      <w:r>
        <w:rPr>
          <w:rFonts w:ascii="仿宋_GB2312" w:eastAsia="仿宋_GB2312"/>
          <w:sz w:val="32"/>
          <w:szCs w:val="32"/>
        </w:rPr>
        <w:t>万元，占</w:t>
      </w:r>
      <w:r>
        <w:rPr>
          <w:rFonts w:hint="eastAsia" w:ascii="仿宋_GB2312" w:eastAsia="仿宋_GB2312"/>
          <w:sz w:val="32"/>
          <w:szCs w:val="32"/>
        </w:rPr>
        <w:t>6.78</w:t>
      </w:r>
      <w:r>
        <w:rPr>
          <w:rFonts w:ascii="仿宋_GB2312" w:eastAsia="仿宋_GB2312"/>
          <w:sz w:val="32"/>
          <w:szCs w:val="32"/>
        </w:rPr>
        <w:t>%</w:t>
      </w:r>
      <w:r>
        <w:rPr>
          <w:rFonts w:hint="eastAsia" w:ascii="仿宋_GB2312" w:eastAsia="仿宋_GB2312"/>
          <w:sz w:val="32"/>
          <w:szCs w:val="32"/>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ascii="仿宋_GB2312" w:eastAsia="仿宋_GB2312"/>
          <w:sz w:val="32"/>
          <w:szCs w:val="32"/>
        </w:rPr>
      </w:pPr>
      <w:r>
        <w:rPr>
          <w:rFonts w:hint="eastAsia" w:ascii="仿宋_GB2312" w:eastAsia="仿宋_GB2312"/>
          <w:sz w:val="32"/>
          <w:szCs w:val="32"/>
        </w:rPr>
        <w:t>1.住房保障支出（类）住房改革支出（款）住房公积金（项）:支出决算数为5.95万元，比上年决算增加1.84万元，增长44.77%，主要原因是：单位本年人员增加，相应人员公积金缴费增加。</w:t>
      </w:r>
    </w:p>
    <w:p>
      <w:pPr>
        <w:ind w:firstLine="640" w:firstLineChars="200"/>
        <w:rPr>
          <w:rFonts w:ascii="仿宋_GB2312" w:eastAsia="仿宋_GB2312"/>
          <w:sz w:val="32"/>
          <w:szCs w:val="32"/>
        </w:rPr>
      </w:pPr>
      <w:r>
        <w:rPr>
          <w:rFonts w:hint="eastAsia" w:ascii="仿宋_GB2312" w:eastAsia="仿宋_GB2312"/>
          <w:sz w:val="32"/>
          <w:szCs w:val="32"/>
        </w:rPr>
        <w:t>2.一般公共服务支出（类）商贸事务（款）行政运行（项）:支出决算数为73.58万元，比上年决算增加27.29万元，增长58.95%，主要原因是：单位本年人员增加，相应人员工资、津贴补贴、奖金增加。</w:t>
      </w:r>
    </w:p>
    <w:p>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机关事业单位基本养老保险缴费支出（项）:支出决算数为8.24万元，比上年决算增加2.90万元，增长54.31%，主要原因是：单位本年人员增加，相应人员养老保险缴费增加。</w:t>
      </w:r>
    </w:p>
    <w:p>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4.社会保障和就业支出（类）行政事业单位养老支出（款）机关事业单位职业年金缴费支出（项）:支出决算数为0.00万元，比上年决算减少5.93万元，下降100%，主要原因是：单位本年</w:t>
      </w:r>
      <w:r>
        <w:rPr>
          <w:rFonts w:hint="eastAsia" w:ascii="仿宋_GB2312" w:eastAsia="仿宋_GB2312"/>
          <w:sz w:val="32"/>
          <w:szCs w:val="32"/>
          <w:lang w:val="en-US" w:eastAsia="zh-CN"/>
        </w:rPr>
        <w:t>一次性</w:t>
      </w:r>
      <w:r>
        <w:rPr>
          <w:rFonts w:hint="eastAsia" w:ascii="仿宋_GB2312" w:eastAsia="仿宋_GB2312"/>
          <w:sz w:val="32"/>
          <w:szCs w:val="32"/>
        </w:rPr>
        <w:t>职业年金缴费较上年减少。</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2023年度一般公共预算财政拨款基本支出87.77万元，其中：人员经费77.27万元，包括：基本工资、津贴补贴、奖金、机关事业单位基本养老保险缴费、职工基本医疗保险缴费、其他社会保障缴费、住房公积金。</w:t>
      </w:r>
    </w:p>
    <w:p>
      <w:pPr>
        <w:ind w:firstLine="640" w:firstLineChars="200"/>
        <w:rPr>
          <w:rFonts w:ascii="仿宋_GB2312" w:eastAsia="仿宋_GB2312"/>
          <w:sz w:val="32"/>
          <w:szCs w:val="32"/>
        </w:rPr>
      </w:pPr>
      <w:r>
        <w:rPr>
          <w:rFonts w:hint="eastAsia" w:ascii="仿宋_GB2312" w:eastAsia="仿宋_GB2312"/>
          <w:sz w:val="32"/>
          <w:szCs w:val="32"/>
        </w:rPr>
        <w:t>公用经费10.50万元，包括：办公费、邮电费、公务用车运行维护费、其他商品和服务支出。</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rPr>
          <w:rFonts w:ascii="仿宋_GB2312" w:eastAsia="仿宋_GB2312"/>
          <w:sz w:val="32"/>
          <w:szCs w:val="32"/>
        </w:rPr>
      </w:pPr>
      <w:r>
        <w:rPr>
          <w:rFonts w:hint="eastAsia" w:ascii="仿宋_GB2312" w:eastAsia="仿宋_GB2312"/>
          <w:sz w:val="32"/>
          <w:szCs w:val="32"/>
        </w:rPr>
        <w:t>2023年度财政拨款“三公”经费支出0.05万元，比上年减少0.04万元，下降44.44%,主要原因是：绿色出行，车辆维修维护费、燃油费等减少。其中：因公出国（境）费支出0.00万元，占0.00%，比上年增加0.00万元，增长0.00%,主要原因是：单位本年无此项经费；公务用车购置及运行维护费支出0.05万元，占100.00%，比上年减少0.04万元，下降44.44%,主要原因是：绿色出行，车辆维修维护费、燃油费等减少；公务接待费支出0.00万元，占0.00%，比上年增加0.00万元，增长0.00%,主要原因是：单位本年无此项经费。</w:t>
      </w:r>
    </w:p>
    <w:p>
      <w:pPr>
        <w:ind w:firstLine="640" w:firstLineChars="200"/>
        <w:rPr>
          <w:rFonts w:ascii="仿宋_GB2312" w:eastAsia="仿宋_GB2312"/>
          <w:sz w:val="32"/>
          <w:szCs w:val="32"/>
        </w:rPr>
      </w:pPr>
      <w:r>
        <w:rPr>
          <w:rFonts w:hint="eastAsia" w:ascii="仿宋_GB2312" w:eastAsia="仿宋_GB2312"/>
          <w:sz w:val="32"/>
          <w:szCs w:val="32"/>
        </w:rPr>
        <w:t>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0.05万元，其中：公务用车购置费0.00万元，公务用车运行维护费0.05万元。公务用车运行维护费开支内容包括公务用车维修维护费、燃油费、保险费、过路费等。公务用车购置数0辆，公务用车保有量1辆。国有资产占用情况中固定资产车辆1辆，与公务用车保有量差异原因是：本单位固定资产车辆与公务用车保有量一致无差异。</w:t>
      </w:r>
    </w:p>
    <w:p>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0.05万元，决算数0.05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0.05万元，决算数0.05万元，预决算差异率0.00%，主要原因是：严格按预算执行，预决算对比无差异；公务接待费全年预算数0.00万元，决算数0.00万元，预决算差异率0.00%，主要原因是：单位本年无此项经费。</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2023年度木垒哈萨克自治县准东社会事务管理中心（事业单位）公用经费支出10.50万元，比上年增加9.85万元，增长1,515.38%，主要原因是：单位本年办公费、邮电费增加。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rPr>
          <w:rFonts w:ascii="仿宋_GB2312" w:eastAsia="仿宋_GB2312"/>
          <w:sz w:val="32"/>
          <w:szCs w:val="32"/>
        </w:rPr>
      </w:pPr>
      <w:r>
        <w:rPr>
          <w:rFonts w:hint="eastAsia" w:ascii="仿宋_GB2312" w:eastAsia="仿宋_GB2312"/>
          <w:sz w:val="32"/>
          <w:szCs w:val="32"/>
        </w:rPr>
        <w:t>2023年度政府采购支出总额3.98万元，其中：政府采购货物支出3.98万元、政府采购工程支出0.00万元、政府采购服务支出0.00万元。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授予中小企业合同金额3.98万元，占政府采购支出总额的100.00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，其中：授予小微企业合同金额3.98万元，占政府采购支出总额的100.00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rPr>
          <w:rFonts w:ascii="仿宋_GB2312" w:eastAsia="仿宋_GB2312"/>
          <w:sz w:val="32"/>
          <w:szCs w:val="32"/>
        </w:rPr>
      </w:pPr>
      <w:r>
        <w:rPr>
          <w:rFonts w:hint="eastAsia" w:ascii="仿宋_GB2312" w:eastAsia="仿宋_GB2312"/>
          <w:sz w:val="32"/>
          <w:szCs w:val="32"/>
        </w:rPr>
        <w:t>截至2023年12月31日，固定资产原值60.84万元，房屋100.00平方米，价值8.00万元。车辆1辆，价值27.98万元，其中：副部（省）级及以上领导用车0辆、主要负责人用车0辆、机要通信用车0辆、应急保障用车0辆、执法执勤用车0辆、特种专业技术用车0辆、离退休干部服务用车0辆、其他用车1辆，其他用车主要是：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预算总额87.76万元，实际执行总额87.76万元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w:t>
      </w:r>
      <w:r>
        <w:rPr>
          <w:rFonts w:hint="eastAsia" w:ascii="仿宋_GB2312" w:eastAsia="仿宋_GB2312"/>
          <w:sz w:val="32"/>
          <w:szCs w:val="32"/>
          <w:lang w:eastAsia="zh-CN"/>
        </w:rPr>
        <w:t>加大</w:t>
      </w:r>
      <w:r>
        <w:rPr>
          <w:rFonts w:hint="eastAsia" w:ascii="仿宋_GB2312" w:eastAsia="仿宋_GB2312"/>
          <w:sz w:val="32"/>
          <w:szCs w:val="32"/>
        </w:rPr>
        <w:t>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8522" w:type="dxa"/>
        <w:tblInd w:w="0" w:type="dxa"/>
        <w:tblLayout w:type="fixed"/>
        <w:tblCellMar>
          <w:top w:w="0" w:type="dxa"/>
          <w:left w:w="108" w:type="dxa"/>
          <w:bottom w:w="0" w:type="dxa"/>
          <w:right w:w="108" w:type="dxa"/>
        </w:tblCellMar>
      </w:tblPr>
      <w:tblGrid>
        <w:gridCol w:w="1815"/>
        <w:gridCol w:w="1350"/>
        <w:gridCol w:w="1052"/>
        <w:gridCol w:w="850"/>
        <w:gridCol w:w="1035"/>
        <w:gridCol w:w="676"/>
        <w:gridCol w:w="1140"/>
        <w:gridCol w:w="604"/>
      </w:tblGrid>
      <w:tr>
        <w:tblPrEx>
          <w:tblLayout w:type="fixed"/>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tblPrEx>
          <w:tblLayout w:type="fixed"/>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tblPrEx>
          <w:tblLayout w:type="fixed"/>
          <w:tblCellMar>
            <w:top w:w="0" w:type="dxa"/>
            <w:left w:w="108" w:type="dxa"/>
            <w:bottom w:w="0" w:type="dxa"/>
            <w:right w:w="108" w:type="dxa"/>
          </w:tblCellMar>
        </w:tblPrEx>
        <w:trPr>
          <w:trHeight w:val="660" w:hRule="atLeast"/>
        </w:trPr>
        <w:tc>
          <w:tcPr>
            <w:tcW w:w="1815"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707" w:type="dxa"/>
            <w:gridSpan w:val="7"/>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w:t>
            </w:r>
          </w:p>
        </w:tc>
      </w:tr>
      <w:tr>
        <w:tblPrEx>
          <w:tblLayout w:type="fixed"/>
          <w:tblCellMar>
            <w:top w:w="0" w:type="dxa"/>
            <w:left w:w="108" w:type="dxa"/>
            <w:bottom w:w="0" w:type="dxa"/>
            <w:right w:w="108" w:type="dxa"/>
          </w:tblCellMar>
        </w:tblPrEx>
        <w:trPr>
          <w:trHeight w:val="570" w:hRule="atLeast"/>
        </w:trPr>
        <w:tc>
          <w:tcPr>
            <w:tcW w:w="1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88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tcBorders>
              <w:top w:val="nil"/>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88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68.24</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87.76</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87.76</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88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68.24</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87.76</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87.76</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tblPrEx>
          <w:tblLayout w:type="fixed"/>
          <w:tblCellMar>
            <w:top w:w="0" w:type="dxa"/>
            <w:left w:w="108" w:type="dxa"/>
            <w:bottom w:w="0" w:type="dxa"/>
            <w:right w:w="108" w:type="dxa"/>
          </w:tblCellMar>
        </w:tblPrEx>
        <w:trPr>
          <w:trHeight w:val="705" w:hRule="atLeast"/>
        </w:trPr>
        <w:tc>
          <w:tcPr>
            <w:tcW w:w="1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52" w:type="dxa"/>
            <w:gridSpan w:val="3"/>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455" w:type="dxa"/>
            <w:gridSpan w:val="4"/>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tblPrEx>
          <w:tblLayout w:type="fixed"/>
          <w:tblCellMar>
            <w:top w:w="0" w:type="dxa"/>
            <w:left w:w="108" w:type="dxa"/>
            <w:bottom w:w="0" w:type="dxa"/>
            <w:right w:w="108" w:type="dxa"/>
          </w:tblCellMar>
        </w:tblPrEx>
        <w:trPr>
          <w:trHeight w:val="200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3252"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目标1：对接项目劳动力转移、农产品推广、旅游推介等项目；</w:t>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br w:type="textWrapping"/>
            </w:r>
            <w:r>
              <w:rPr>
                <w:rFonts w:hint="eastAsia" w:cs="宋体" w:asciiTheme="minorEastAsia" w:hAnsiTheme="minorEastAsia" w:eastAsiaTheme="minorEastAsia"/>
                <w:kern w:val="0"/>
                <w:sz w:val="20"/>
                <w:szCs w:val="20"/>
              </w:rPr>
              <w:t>目标2：完成</w:t>
            </w:r>
            <w:r>
              <w:rPr>
                <w:rFonts w:hint="eastAsia" w:cs="宋体" w:asciiTheme="minorEastAsia" w:hAnsiTheme="minorEastAsia" w:eastAsiaTheme="minorEastAsia"/>
                <w:kern w:val="0"/>
                <w:sz w:val="20"/>
                <w:szCs w:val="20"/>
                <w:lang w:eastAsia="zh-CN"/>
              </w:rPr>
              <w:t>县委县政府</w:t>
            </w:r>
            <w:r>
              <w:rPr>
                <w:rFonts w:hint="eastAsia" w:cs="宋体" w:asciiTheme="minorEastAsia" w:hAnsiTheme="minorEastAsia" w:eastAsiaTheme="minorEastAsia"/>
                <w:kern w:val="0"/>
                <w:sz w:val="20"/>
                <w:szCs w:val="20"/>
              </w:rPr>
              <w:t>安排的工作，保证单位的运转。</w:t>
            </w:r>
          </w:p>
        </w:tc>
        <w:tc>
          <w:tcPr>
            <w:tcW w:w="3455"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lang w:eastAsia="zh-CN"/>
              </w:rPr>
              <w:t>截至本次</w:t>
            </w:r>
            <w:r>
              <w:rPr>
                <w:rFonts w:hint="eastAsia" w:cs="宋体" w:asciiTheme="minorEastAsia" w:hAnsiTheme="minorEastAsia" w:eastAsiaTheme="minorEastAsia"/>
                <w:kern w:val="0"/>
                <w:sz w:val="20"/>
                <w:szCs w:val="20"/>
              </w:rPr>
              <w:t>自评节点，我单位已完成对接项目劳动力转移、农产品推广、旅游推介等项目，协调企业数量22家，完成全县固定资产投资12</w:t>
            </w:r>
            <w:r>
              <w:rPr>
                <w:rFonts w:hint="eastAsia" w:cs="宋体" w:asciiTheme="minorEastAsia" w:hAnsiTheme="minorEastAsia" w:eastAsiaTheme="minorEastAsia"/>
                <w:kern w:val="0"/>
                <w:sz w:val="20"/>
                <w:szCs w:val="20"/>
                <w:lang w:eastAsia="zh-CN"/>
              </w:rPr>
              <w:t>亿元</w:t>
            </w:r>
            <w:r>
              <w:rPr>
                <w:rFonts w:hint="eastAsia" w:cs="宋体" w:asciiTheme="minorEastAsia" w:hAnsiTheme="minorEastAsia" w:eastAsiaTheme="minorEastAsia"/>
                <w:kern w:val="0"/>
                <w:sz w:val="20"/>
                <w:szCs w:val="20"/>
              </w:rPr>
              <w:t>；完成了</w:t>
            </w:r>
            <w:r>
              <w:rPr>
                <w:rFonts w:hint="eastAsia" w:cs="宋体" w:asciiTheme="minorEastAsia" w:hAnsiTheme="minorEastAsia" w:eastAsiaTheme="minorEastAsia"/>
                <w:kern w:val="0"/>
                <w:sz w:val="20"/>
                <w:szCs w:val="20"/>
                <w:lang w:eastAsia="zh-CN"/>
              </w:rPr>
              <w:t>县委县政府</w:t>
            </w:r>
            <w:r>
              <w:rPr>
                <w:rFonts w:hint="eastAsia" w:cs="宋体" w:asciiTheme="minorEastAsia" w:hAnsiTheme="minorEastAsia" w:eastAsiaTheme="minorEastAsia"/>
                <w:kern w:val="0"/>
                <w:sz w:val="20"/>
                <w:szCs w:val="20"/>
              </w:rPr>
              <w:t>安排的工作，保证了单位的运转。</w:t>
            </w:r>
          </w:p>
        </w:tc>
      </w:tr>
      <w:tr>
        <w:tblPrEx>
          <w:tblLayout w:type="fixed"/>
          <w:tblCellMar>
            <w:top w:w="0" w:type="dxa"/>
            <w:left w:w="108" w:type="dxa"/>
            <w:bottom w:w="0" w:type="dxa"/>
            <w:right w:w="108" w:type="dxa"/>
          </w:tblCellMar>
        </w:tblPrEx>
        <w:trPr>
          <w:trHeight w:val="580" w:hRule="atLeast"/>
        </w:trPr>
        <w:tc>
          <w:tcPr>
            <w:tcW w:w="18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tblPrEx>
          <w:tblLayout w:type="fixed"/>
          <w:tblCellMar>
            <w:top w:w="0" w:type="dxa"/>
            <w:left w:w="108" w:type="dxa"/>
            <w:bottom w:w="0" w:type="dxa"/>
            <w:right w:w="108" w:type="dxa"/>
          </w:tblCellMar>
        </w:tblPrEx>
        <w:trPr>
          <w:trHeight w:val="740" w:hRule="atLeast"/>
        </w:trPr>
        <w:tc>
          <w:tcPr>
            <w:tcW w:w="1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3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协调企业数量</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&gt;=22家</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=22家</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Layout w:type="fixed"/>
          <w:tblCellMar>
            <w:top w:w="0" w:type="dxa"/>
            <w:left w:w="108" w:type="dxa"/>
            <w:bottom w:w="0" w:type="dxa"/>
            <w:right w:w="108" w:type="dxa"/>
          </w:tblCellMar>
        </w:tblPrEx>
        <w:trPr>
          <w:trHeight w:val="74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完成全县固定资产投资</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&gt;=12万元</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12万元</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1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3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业务协调率</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协调答复率</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Layout w:type="fixed"/>
          <w:tblCellMar>
            <w:top w:w="0" w:type="dxa"/>
            <w:left w:w="108" w:type="dxa"/>
            <w:bottom w:w="0" w:type="dxa"/>
            <w:right w:w="108" w:type="dxa"/>
          </w:tblCellMar>
        </w:tblPrEx>
        <w:trPr>
          <w:trHeight w:val="74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数量指标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带动当地就业人数</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&gt;=300人</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=300人</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tblPrEx>
          <w:tblLayout w:type="fixed"/>
          <w:tblCellMar>
            <w:top w:w="0" w:type="dxa"/>
            <w:left w:w="108" w:type="dxa"/>
            <w:bottom w:w="0" w:type="dxa"/>
            <w:right w:w="108" w:type="dxa"/>
          </w:tblCellMar>
        </w:tblPrEx>
        <w:trPr>
          <w:trHeight w:val="740" w:hRule="atLeast"/>
        </w:trPr>
        <w:tc>
          <w:tcPr>
            <w:tcW w:w="181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35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 xml:space="preserve">质量指标 </w:t>
            </w: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企业协调提升率</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tblPrEx>
          <w:tblLayout w:type="fixed"/>
          <w:tblCellMar>
            <w:top w:w="0" w:type="dxa"/>
            <w:left w:w="108" w:type="dxa"/>
            <w:bottom w:w="0" w:type="dxa"/>
            <w:right w:w="108" w:type="dxa"/>
          </w:tblCellMar>
        </w:tblPrEx>
        <w:trPr>
          <w:trHeight w:val="740" w:hRule="atLeast"/>
        </w:trPr>
        <w:tc>
          <w:tcPr>
            <w:tcW w:w="18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350"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cs="宋体" w:asciiTheme="minorEastAsia" w:hAnsiTheme="minorEastAsia" w:eastAsiaTheme="minorEastAsia"/>
                <w:kern w:val="0"/>
                <w:sz w:val="20"/>
                <w:szCs w:val="20"/>
              </w:rPr>
            </w:pPr>
          </w:p>
        </w:tc>
        <w:tc>
          <w:tcPr>
            <w:tcW w:w="1052"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企业满意度</w:t>
            </w:r>
          </w:p>
        </w:tc>
        <w:tc>
          <w:tcPr>
            <w:tcW w:w="85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035"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木垒哈萨克自治县准东社会事务管理中心2023年工作计划</w:t>
            </w:r>
          </w:p>
        </w:tc>
        <w:tc>
          <w:tcPr>
            <w:tcW w:w="676"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1140"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04" w:type="dxa"/>
            <w:tcBorders>
              <w:top w:val="nil"/>
              <w:left w:val="nil"/>
              <w:bottom w:val="single" w:color="auto" w:sz="4" w:space="0"/>
              <w:right w:val="single" w:color="auto" w:sz="4" w:space="0"/>
            </w:tcBorders>
            <w:shd w:val="clear" w:color="auto" w:fill="auto"/>
            <w:vAlign w:val="center"/>
          </w:tcPr>
          <w:p>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417116"/>
    <w:rsid w:val="000A40D0"/>
    <w:rsid w:val="000B62E0"/>
    <w:rsid w:val="001C1B6A"/>
    <w:rsid w:val="00213C59"/>
    <w:rsid w:val="00220505"/>
    <w:rsid w:val="0026219C"/>
    <w:rsid w:val="003210CE"/>
    <w:rsid w:val="00417116"/>
    <w:rsid w:val="004416B9"/>
    <w:rsid w:val="005242B9"/>
    <w:rsid w:val="00665083"/>
    <w:rsid w:val="007978AD"/>
    <w:rsid w:val="00914886"/>
    <w:rsid w:val="009B5FCA"/>
    <w:rsid w:val="00B70D59"/>
    <w:rsid w:val="00C870FC"/>
    <w:rsid w:val="00D7798B"/>
    <w:rsid w:val="00F52A8D"/>
    <w:rsid w:val="00F9279A"/>
    <w:rsid w:val="00FF72E6"/>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24683B"/>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C616FF"/>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77387A"/>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5576</Words>
  <Characters>6262</Characters>
  <Lines>52</Lines>
  <Paragraphs>14</Paragraphs>
  <TotalTime>34</TotalTime>
  <ScaleCrop>false</ScaleCrop>
  <LinksUpToDate>false</LinksUpToDate>
  <CharactersWithSpaces>6295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2025-04-22T09:15:03Z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